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77" w:lineRule="exact" w:before="0"/>
        <w:ind w:left="691" w:right="0" w:firstLine="0"/>
        <w:jc w:val="left"/>
        <w:rPr>
          <w:rFonts w:ascii="方正大标宋简体" w:eastAsia="方正大标宋简体" w:hint="eastAsia"/>
          <w:sz w:val="44"/>
        </w:rPr>
      </w:pPr>
      <w:r>
        <w:rPr>
          <w:rFonts w:ascii="Times New Roman" w:eastAsia="Times New Roman"/>
          <w:spacing w:val="2"/>
          <w:w w:val="95"/>
          <w:sz w:val="44"/>
        </w:rPr>
        <w:t>2020</w:t>
      </w:r>
      <w:r>
        <w:rPr>
          <w:rFonts w:ascii="Times New Roman" w:eastAsia="Times New Roman"/>
          <w:spacing w:val="-63"/>
          <w:w w:val="95"/>
          <w:sz w:val="44"/>
        </w:rPr>
        <w:t> </w:t>
      </w:r>
      <w:r>
        <w:rPr>
          <w:rFonts w:ascii="方正大标宋简体" w:eastAsia="方正大标宋简体" w:hint="eastAsia"/>
          <w:spacing w:val="6"/>
          <w:w w:val="95"/>
          <w:sz w:val="44"/>
        </w:rPr>
        <w:t>年普通专升本《基础护理学》考试大纲</w:t>
      </w:r>
    </w:p>
    <w:p>
      <w:pPr>
        <w:pStyle w:val="BodyText"/>
        <w:spacing w:before="10"/>
        <w:ind w:left="0"/>
        <w:rPr>
          <w:rFonts w:ascii="方正大标宋简体"/>
          <w:sz w:val="43"/>
        </w:rPr>
      </w:pPr>
    </w:p>
    <w:p>
      <w:pPr>
        <w:pStyle w:val="BodyText"/>
        <w:spacing w:line="316" w:lineRule="auto" w:before="0"/>
        <w:ind w:left="101" w:right="276" w:firstLine="638"/>
      </w:pPr>
      <w:r>
        <w:rPr/>
        <w:t>本考试的目的是选拔部分优秀专科生升入普通本科高校继续深造进行护理学专业本科阶段学习，考查学生对护理的基本理论、基本知识、基本技能的掌握程度及能将所学的《基础护理学》知识运用于临床护理实践，考核其分析和解决问题的能</w:t>
      </w:r>
      <w:r>
        <w:rPr>
          <w:spacing w:val="-9"/>
        </w:rPr>
        <w:t>力。本门课程考核要求由低到高共分为</w:t>
      </w:r>
      <w:r>
        <w:rPr>
          <w:rFonts w:ascii="Times New Roman" w:hAnsi="Times New Roman" w:eastAsia="Times New Roman"/>
        </w:rPr>
        <w:t>“</w:t>
      </w:r>
      <w:r>
        <w:rPr/>
        <w:t>了解</w:t>
      </w:r>
      <w:r>
        <w:rPr>
          <w:rFonts w:ascii="Times New Roman" w:hAnsi="Times New Roman" w:eastAsia="Times New Roman"/>
        </w:rPr>
        <w:t>”“</w:t>
      </w:r>
      <w:r>
        <w:rPr/>
        <w:t>熟悉</w:t>
      </w:r>
      <w:r>
        <w:rPr>
          <w:rFonts w:ascii="Times New Roman" w:hAnsi="Times New Roman" w:eastAsia="Times New Roman"/>
        </w:rPr>
        <w:t>”</w:t>
      </w:r>
      <w:r>
        <w:rPr/>
        <w:t>及</w:t>
      </w:r>
      <w:r>
        <w:rPr>
          <w:rFonts w:ascii="Times New Roman" w:hAnsi="Times New Roman" w:eastAsia="Times New Roman"/>
        </w:rPr>
        <w:t>“</w:t>
      </w:r>
      <w:r>
        <w:rPr/>
        <w:t>掌握</w:t>
      </w:r>
      <w:r>
        <w:rPr>
          <w:rFonts w:ascii="Times New Roman" w:hAnsi="Times New Roman" w:eastAsia="Times New Roman"/>
        </w:rPr>
        <w:t>”</w:t>
      </w:r>
      <w:r>
        <w:rPr/>
        <w:t>三</w:t>
      </w:r>
      <w:r>
        <w:rPr>
          <w:spacing w:val="-35"/>
        </w:rPr>
        <w:t>个层次。</w:t>
      </w:r>
      <w:r>
        <w:rPr>
          <w:rFonts w:ascii="Times New Roman" w:hAnsi="Times New Roman" w:eastAsia="Times New Roman"/>
        </w:rPr>
        <w:t>“</w:t>
      </w:r>
      <w:r>
        <w:rPr/>
        <w:t>了解</w:t>
      </w:r>
      <w:r>
        <w:rPr>
          <w:rFonts w:ascii="Times New Roman" w:hAnsi="Times New Roman" w:eastAsia="Times New Roman"/>
        </w:rPr>
        <w:t>”</w:t>
      </w:r>
      <w:r>
        <w:rPr/>
        <w:t>是指学生对涉及到护理的一些其他学科的相关内</w:t>
      </w:r>
      <w:r>
        <w:rPr>
          <w:spacing w:val="-6"/>
          <w:w w:val="95"/>
        </w:rPr>
        <w:t>容有所了解；</w:t>
      </w:r>
      <w:r>
        <w:rPr>
          <w:rFonts w:ascii="Times New Roman" w:hAnsi="Times New Roman" w:eastAsia="Times New Roman"/>
          <w:spacing w:val="-33"/>
          <w:w w:val="95"/>
        </w:rPr>
        <w:t>“</w:t>
      </w:r>
      <w:r>
        <w:rPr>
          <w:w w:val="95"/>
        </w:rPr>
        <w:t>熟悉</w:t>
      </w:r>
      <w:r>
        <w:rPr>
          <w:rFonts w:ascii="Times New Roman" w:hAnsi="Times New Roman" w:eastAsia="Times New Roman"/>
          <w:w w:val="95"/>
        </w:rPr>
        <w:t>”</w:t>
      </w:r>
      <w:r>
        <w:rPr>
          <w:spacing w:val="-6"/>
          <w:w w:val="95"/>
        </w:rPr>
        <w:t>是指学生对要求熟悉的内容</w:t>
      </w:r>
      <w:r>
        <w:rPr>
          <w:w w:val="95"/>
        </w:rPr>
        <w:t>（包括护理操作 </w:t>
      </w:r>
      <w:r>
        <w:rPr>
          <w:spacing w:val="-9"/>
          <w:w w:val="95"/>
        </w:rPr>
        <w:t>的目的、意义、影响因素等的内容</w:t>
      </w:r>
      <w:r>
        <w:rPr>
          <w:spacing w:val="-34"/>
          <w:w w:val="95"/>
        </w:rPr>
        <w:t>）</w:t>
      </w:r>
      <w:r>
        <w:rPr>
          <w:spacing w:val="-4"/>
          <w:w w:val="95"/>
        </w:rPr>
        <w:t>都应明了；</w:t>
      </w:r>
      <w:r>
        <w:rPr>
          <w:rFonts w:ascii="Times New Roman" w:hAnsi="Times New Roman" w:eastAsia="Times New Roman"/>
          <w:spacing w:val="-16"/>
          <w:w w:val="95"/>
        </w:rPr>
        <w:t>“</w:t>
      </w:r>
      <w:r>
        <w:rPr>
          <w:w w:val="95"/>
        </w:rPr>
        <w:t>掌握</w:t>
      </w:r>
      <w:r>
        <w:rPr>
          <w:rFonts w:ascii="Times New Roman" w:hAnsi="Times New Roman" w:eastAsia="Times New Roman"/>
          <w:w w:val="95"/>
        </w:rPr>
        <w:t>”</w:t>
      </w:r>
      <w:r>
        <w:rPr>
          <w:w w:val="95"/>
        </w:rPr>
        <w:t>是指学生 </w:t>
      </w:r>
      <w:r>
        <w:rPr/>
        <w:t>必须要理解并记住的知识点（包括护理措施、操作步骤、注意事项等）。</w:t>
      </w:r>
    </w:p>
    <w:p>
      <w:pPr>
        <w:pStyle w:val="BodyText"/>
        <w:spacing w:line="316" w:lineRule="auto" w:before="0"/>
        <w:ind w:right="3305"/>
        <w:rPr>
          <w:rFonts w:ascii="黑体" w:eastAsia="黑体" w:hint="eastAsia"/>
        </w:rPr>
      </w:pPr>
      <w:r>
        <w:rPr>
          <w:rFonts w:ascii="黑体" w:eastAsia="黑体" w:hint="eastAsia"/>
        </w:rPr>
        <w:t>一、考试科目名称：《基础护理学》二、考试方法：闭卷笔试</w:t>
      </w:r>
    </w:p>
    <w:p>
      <w:pPr>
        <w:pStyle w:val="BodyText"/>
        <w:spacing w:line="408" w:lineRule="exact" w:before="0"/>
        <w:rPr>
          <w:rFonts w:ascii="黑体" w:eastAsia="黑体" w:hint="eastAsia"/>
        </w:rPr>
      </w:pPr>
      <w:r>
        <w:rPr>
          <w:rFonts w:ascii="黑体" w:eastAsia="黑体" w:hint="eastAsia"/>
        </w:rPr>
        <w:t>三、考试时间：</w:t>
      </w:r>
      <w:r>
        <w:rPr>
          <w:rFonts w:ascii="Times New Roman" w:eastAsia="Times New Roman"/>
        </w:rPr>
        <w:t>90 </w:t>
      </w:r>
      <w:r>
        <w:rPr>
          <w:rFonts w:ascii="黑体" w:eastAsia="黑体" w:hint="eastAsia"/>
        </w:rPr>
        <w:t>分钟</w:t>
      </w:r>
    </w:p>
    <w:p>
      <w:pPr>
        <w:pStyle w:val="BodyText"/>
        <w:spacing w:before="118"/>
        <w:rPr>
          <w:rFonts w:ascii="黑体" w:eastAsia="黑体" w:hint="eastAsia"/>
        </w:rPr>
      </w:pPr>
      <w:r>
        <w:rPr>
          <w:rFonts w:ascii="黑体" w:eastAsia="黑体" w:hint="eastAsia"/>
        </w:rPr>
        <w:t>四、试卷结构：总分 </w:t>
      </w:r>
      <w:r>
        <w:rPr>
          <w:rFonts w:ascii="Times New Roman" w:eastAsia="Times New Roman"/>
        </w:rPr>
        <w:t>100 </w:t>
      </w:r>
      <w:r>
        <w:rPr>
          <w:rFonts w:ascii="黑体" w:eastAsia="黑体" w:hint="eastAsia"/>
        </w:rPr>
        <w:t>分</w:t>
      </w:r>
    </w:p>
    <w:p>
      <w:pPr>
        <w:pStyle w:val="BodyText"/>
        <w:rPr>
          <w:rFonts w:ascii="楷体_GB2312" w:eastAsia="楷体_GB2312" w:hint="eastAsia"/>
        </w:rPr>
      </w:pPr>
      <w:r>
        <w:rPr>
          <w:rFonts w:ascii="楷体_GB2312" w:eastAsia="楷体_GB2312" w:hint="eastAsia"/>
        </w:rPr>
        <w:t>（一）名词解释（本大题共 </w:t>
      </w:r>
      <w:r>
        <w:rPr>
          <w:rFonts w:ascii="Times New Roman" w:eastAsia="Times New Roman"/>
        </w:rPr>
        <w:t>5 </w:t>
      </w:r>
      <w:r>
        <w:rPr>
          <w:rFonts w:ascii="楷体_GB2312" w:eastAsia="楷体_GB2312" w:hint="eastAsia"/>
        </w:rPr>
        <w:t>小题，每题 </w:t>
      </w:r>
      <w:r>
        <w:rPr>
          <w:rFonts w:ascii="Times New Roman" w:eastAsia="Times New Roman"/>
        </w:rPr>
        <w:t>3 </w:t>
      </w:r>
      <w:r>
        <w:rPr>
          <w:rFonts w:ascii="楷体_GB2312" w:eastAsia="楷体_GB2312" w:hint="eastAsia"/>
        </w:rPr>
        <w:t>分，共 </w:t>
      </w:r>
      <w:r>
        <w:rPr>
          <w:rFonts w:ascii="Times New Roman" w:eastAsia="Times New Roman"/>
        </w:rPr>
        <w:t>15 </w:t>
      </w:r>
      <w:r>
        <w:rPr>
          <w:rFonts w:ascii="楷体_GB2312" w:eastAsia="楷体_GB2312" w:hint="eastAsia"/>
        </w:rPr>
        <w:t>分）</w:t>
      </w:r>
    </w:p>
    <w:p>
      <w:pPr>
        <w:pStyle w:val="BodyText"/>
        <w:rPr>
          <w:rFonts w:ascii="Times New Roman" w:eastAsia="Times New Roman"/>
        </w:rPr>
      </w:pPr>
      <w:r>
        <w:rPr>
          <w:rFonts w:ascii="楷体_GB2312" w:eastAsia="楷体_GB2312" w:hint="eastAsia"/>
        </w:rPr>
        <w:t>（二）单项选择题（本大题共 </w:t>
      </w:r>
      <w:r>
        <w:rPr>
          <w:rFonts w:ascii="Times New Roman" w:eastAsia="Times New Roman"/>
        </w:rPr>
        <w:t>25 </w:t>
      </w:r>
      <w:r>
        <w:rPr>
          <w:rFonts w:ascii="楷体_GB2312" w:eastAsia="楷体_GB2312" w:hint="eastAsia"/>
        </w:rPr>
        <w:t>小题，每题 </w:t>
      </w:r>
      <w:r>
        <w:rPr>
          <w:rFonts w:ascii="Times New Roman" w:eastAsia="Times New Roman"/>
        </w:rPr>
        <w:t>1 </w:t>
      </w:r>
      <w:r>
        <w:rPr>
          <w:rFonts w:ascii="楷体_GB2312" w:eastAsia="楷体_GB2312" w:hint="eastAsia"/>
        </w:rPr>
        <w:t>分，共 </w:t>
      </w:r>
      <w:r>
        <w:rPr>
          <w:rFonts w:ascii="Times New Roman" w:eastAsia="Times New Roman"/>
        </w:rPr>
        <w:t>25</w:t>
      </w:r>
    </w:p>
    <w:p>
      <w:pPr>
        <w:pStyle w:val="BodyText"/>
        <w:ind w:left="101"/>
        <w:rPr>
          <w:rFonts w:ascii="楷体_GB2312" w:eastAsia="楷体_GB2312" w:hint="eastAsia"/>
        </w:rPr>
      </w:pPr>
      <w:r>
        <w:rPr>
          <w:rFonts w:ascii="楷体_GB2312" w:eastAsia="楷体_GB2312" w:hint="eastAsia"/>
        </w:rPr>
        <w:t>分）</w:t>
      </w:r>
    </w:p>
    <w:p>
      <w:pPr>
        <w:pStyle w:val="BodyText"/>
        <w:rPr>
          <w:rFonts w:ascii="楷体_GB2312" w:eastAsia="楷体_GB2312" w:hint="eastAsia"/>
        </w:rPr>
      </w:pPr>
      <w:r>
        <w:rPr>
          <w:rFonts w:ascii="楷体_GB2312" w:eastAsia="楷体_GB2312" w:hint="eastAsia"/>
        </w:rPr>
        <w:t>（三）简答题（本大题共 </w:t>
      </w:r>
      <w:r>
        <w:rPr>
          <w:rFonts w:ascii="Times New Roman" w:eastAsia="Times New Roman"/>
        </w:rPr>
        <w:t>6 </w:t>
      </w:r>
      <w:r>
        <w:rPr>
          <w:rFonts w:ascii="楷体_GB2312" w:eastAsia="楷体_GB2312" w:hint="eastAsia"/>
        </w:rPr>
        <w:t>题，每题 </w:t>
      </w:r>
      <w:r>
        <w:rPr>
          <w:rFonts w:ascii="Times New Roman" w:eastAsia="Times New Roman"/>
        </w:rPr>
        <w:t>5 </w:t>
      </w:r>
      <w:r>
        <w:rPr>
          <w:rFonts w:ascii="楷体_GB2312" w:eastAsia="楷体_GB2312" w:hint="eastAsia"/>
        </w:rPr>
        <w:t>分，共 </w:t>
      </w:r>
      <w:r>
        <w:rPr>
          <w:rFonts w:ascii="Times New Roman" w:eastAsia="Times New Roman"/>
        </w:rPr>
        <w:t>30 </w:t>
      </w:r>
      <w:r>
        <w:rPr>
          <w:rFonts w:ascii="楷体_GB2312" w:eastAsia="楷体_GB2312" w:hint="eastAsia"/>
        </w:rPr>
        <w:t>分）</w:t>
      </w:r>
    </w:p>
    <w:p>
      <w:pPr>
        <w:pStyle w:val="BodyText"/>
        <w:rPr>
          <w:rFonts w:ascii="Times New Roman" w:eastAsia="Times New Roman"/>
        </w:rPr>
      </w:pPr>
      <w:r>
        <w:rPr>
          <w:rFonts w:ascii="楷体_GB2312" w:eastAsia="楷体_GB2312" w:hint="eastAsia"/>
        </w:rPr>
        <w:t>（四）案例分析题（本大题共 </w:t>
      </w:r>
      <w:r>
        <w:rPr>
          <w:rFonts w:ascii="Times New Roman" w:eastAsia="Times New Roman"/>
        </w:rPr>
        <w:t>3 </w:t>
      </w:r>
      <w:r>
        <w:rPr>
          <w:rFonts w:ascii="楷体_GB2312" w:eastAsia="楷体_GB2312" w:hint="eastAsia"/>
        </w:rPr>
        <w:t>小题，每题 </w:t>
      </w:r>
      <w:r>
        <w:rPr>
          <w:rFonts w:ascii="Times New Roman" w:eastAsia="Times New Roman"/>
        </w:rPr>
        <w:t>10 </w:t>
      </w:r>
      <w:r>
        <w:rPr>
          <w:rFonts w:ascii="楷体_GB2312" w:eastAsia="楷体_GB2312" w:hint="eastAsia"/>
        </w:rPr>
        <w:t>分，共 </w:t>
      </w:r>
      <w:r>
        <w:rPr>
          <w:rFonts w:ascii="Times New Roman" w:eastAsia="Times New Roman"/>
        </w:rPr>
        <w:t>30</w:t>
      </w:r>
    </w:p>
    <w:p>
      <w:pPr>
        <w:pStyle w:val="BodyText"/>
        <w:ind w:left="101"/>
        <w:rPr>
          <w:rFonts w:ascii="楷体_GB2312" w:eastAsia="楷体_GB2312" w:hint="eastAsia"/>
        </w:rPr>
      </w:pPr>
      <w:r>
        <w:rPr>
          <w:rFonts w:ascii="楷体_GB2312" w:eastAsia="楷体_GB2312" w:hint="eastAsia"/>
        </w:rPr>
        <w:t>分）</w:t>
      </w:r>
    </w:p>
    <w:p>
      <w:pPr>
        <w:pStyle w:val="BodyText"/>
        <w:rPr>
          <w:rFonts w:ascii="黑体" w:eastAsia="黑体" w:hint="eastAsia"/>
        </w:rPr>
      </w:pPr>
      <w:r>
        <w:rPr>
          <w:rFonts w:ascii="黑体" w:eastAsia="黑体" w:hint="eastAsia"/>
        </w:rPr>
        <w:t>五、考试的基本要求</w:t>
      </w:r>
    </w:p>
    <w:p>
      <w:pPr>
        <w:pStyle w:val="BodyText"/>
      </w:pPr>
      <w:r>
        <w:rPr>
          <w:w w:val="95"/>
        </w:rPr>
        <w:t>以全面考查学生对本课程的基本理论、基本知识和基本技</w:t>
      </w:r>
    </w:p>
    <w:p>
      <w:pPr>
        <w:pStyle w:val="BodyText"/>
        <w:ind w:left="101"/>
      </w:pPr>
      <w:r>
        <w:rPr>
          <w:w w:val="95"/>
        </w:rPr>
        <w:t>能的学习、理解和掌握的情况作为命题的指导思想。笔试命题</w:t>
      </w:r>
    </w:p>
    <w:p>
      <w:pPr>
        <w:spacing w:after="0"/>
        <w:sectPr>
          <w:type w:val="continuous"/>
          <w:pgSz w:w="11910" w:h="16840"/>
          <w:pgMar w:top="1460" w:bottom="280" w:left="1600" w:right="1140"/>
        </w:sectPr>
      </w:pPr>
    </w:p>
    <w:p>
      <w:pPr>
        <w:pStyle w:val="BodyText"/>
        <w:spacing w:line="316" w:lineRule="auto" w:before="31"/>
        <w:ind w:left="101" w:right="115"/>
      </w:pPr>
      <w:r>
        <w:rPr/>
        <w:t>的原则是题目数量多、范围广，重要知识点均有涉及。最基本</w:t>
      </w:r>
      <w:r>
        <w:rPr>
          <w:spacing w:val="-11"/>
        </w:rPr>
        <w:t>的知识一般要占 </w:t>
      </w:r>
      <w:r>
        <w:rPr>
          <w:rFonts w:ascii="Times New Roman" w:eastAsia="Times New Roman"/>
        </w:rPr>
        <w:t>80%</w:t>
      </w:r>
      <w:r>
        <w:rPr>
          <w:spacing w:val="-14"/>
        </w:rPr>
        <w:t>左右，稍微灵活一点的题目要占 </w:t>
      </w:r>
      <w:r>
        <w:rPr>
          <w:rFonts w:ascii="Times New Roman" w:eastAsia="Times New Roman"/>
        </w:rPr>
        <w:t>10%</w:t>
      </w:r>
      <w:r>
        <w:rPr/>
        <w:t>左右， </w:t>
      </w:r>
      <w:r>
        <w:rPr>
          <w:spacing w:val="-11"/>
        </w:rPr>
        <w:t>较难的题目要占 </w:t>
      </w:r>
      <w:r>
        <w:rPr>
          <w:rFonts w:ascii="Times New Roman" w:eastAsia="Times New Roman"/>
        </w:rPr>
        <w:t>10%</w:t>
      </w:r>
      <w:r>
        <w:rPr/>
        <w:t>左右。</w:t>
      </w:r>
    </w:p>
    <w:p>
      <w:pPr>
        <w:pStyle w:val="BodyText"/>
        <w:spacing w:line="406" w:lineRule="exact" w:before="0"/>
        <w:rPr>
          <w:rFonts w:ascii="黑体" w:eastAsia="黑体" w:hint="eastAsia"/>
        </w:rPr>
      </w:pPr>
      <w:r>
        <w:rPr>
          <w:rFonts w:ascii="黑体" w:eastAsia="黑体" w:hint="eastAsia"/>
        </w:rPr>
        <w:t>六、考试范围</w:t>
      </w:r>
    </w:p>
    <w:p>
      <w:pPr>
        <w:tabs>
          <w:tab w:pos="2023" w:val="left" w:leader="none"/>
        </w:tabs>
        <w:spacing w:line="316" w:lineRule="auto" w:before="130"/>
        <w:ind w:left="740" w:right="4584" w:firstLine="0"/>
        <w:jc w:val="left"/>
        <w:rPr>
          <w:b/>
          <w:sz w:val="32"/>
        </w:rPr>
      </w:pPr>
      <w:r>
        <w:rPr>
          <w:b/>
          <w:sz w:val="32"/>
        </w:rPr>
        <w:t>第一章</w:t>
        <w:tab/>
        <w:t>医院和住院环境</w:t>
      </w:r>
      <w:r>
        <w:rPr>
          <w:sz w:val="32"/>
        </w:rPr>
        <w:t>掌握医院物理环境的要求</w:t>
      </w:r>
      <w:r>
        <w:rPr>
          <w:spacing w:val="-15"/>
          <w:sz w:val="32"/>
        </w:rPr>
        <w:t>。</w:t>
      </w:r>
      <w:r>
        <w:rPr>
          <w:b/>
          <w:sz w:val="32"/>
        </w:rPr>
        <w:t>第二章</w:t>
        <w:tab/>
        <w:t>入院和出院护理</w:t>
      </w:r>
    </w:p>
    <w:p>
      <w:pPr>
        <w:pStyle w:val="BodyText"/>
        <w:spacing w:line="406" w:lineRule="exact" w:before="0"/>
      </w:pPr>
      <w:r>
        <w:rPr/>
        <w:t>（一）掌握分级护理的适用对象及护理内容。</w:t>
      </w:r>
    </w:p>
    <w:p>
      <w:pPr>
        <w:tabs>
          <w:tab w:pos="2023" w:val="left" w:leader="none"/>
        </w:tabs>
        <w:spacing w:line="316" w:lineRule="auto" w:before="130"/>
        <w:ind w:left="740" w:right="1067" w:firstLine="0"/>
        <w:jc w:val="left"/>
        <w:rPr>
          <w:b/>
          <w:sz w:val="32"/>
        </w:rPr>
      </w:pPr>
      <w:r>
        <w:rPr>
          <w:sz w:val="32"/>
        </w:rPr>
        <w:t>（二）掌握轮椅和平车运送病人的方法和注意事项</w:t>
      </w:r>
      <w:r>
        <w:rPr>
          <w:spacing w:val="-13"/>
          <w:sz w:val="32"/>
        </w:rPr>
        <w:t>。</w:t>
      </w:r>
      <w:r>
        <w:rPr>
          <w:b/>
          <w:sz w:val="32"/>
        </w:rPr>
        <w:t>第三章</w:t>
        <w:tab/>
        <w:t>舒适与安全</w:t>
      </w:r>
    </w:p>
    <w:p>
      <w:pPr>
        <w:pStyle w:val="BodyText"/>
        <w:spacing w:line="408" w:lineRule="exact" w:before="0"/>
      </w:pPr>
      <w:r>
        <w:rPr/>
        <w:t>（一）掌握常用卧位种类和方法。</w:t>
      </w:r>
    </w:p>
    <w:p>
      <w:pPr>
        <w:tabs>
          <w:tab w:pos="2023" w:val="left" w:leader="none"/>
        </w:tabs>
        <w:spacing w:line="316" w:lineRule="auto" w:before="130"/>
        <w:ind w:left="740" w:right="2025" w:firstLine="0"/>
        <w:jc w:val="left"/>
        <w:rPr>
          <w:b/>
          <w:sz w:val="32"/>
        </w:rPr>
      </w:pPr>
      <w:r>
        <w:rPr>
          <w:sz w:val="32"/>
        </w:rPr>
        <w:t>（二）掌握促进睡眠及改善活动的护理措施</w:t>
      </w:r>
      <w:r>
        <w:rPr>
          <w:spacing w:val="-12"/>
          <w:sz w:val="32"/>
        </w:rPr>
        <w:t>。</w:t>
      </w:r>
      <w:r>
        <w:rPr>
          <w:b/>
          <w:sz w:val="32"/>
        </w:rPr>
        <w:t>第四章</w:t>
        <w:tab/>
        <w:t>医院感染的预防与控制</w:t>
      </w:r>
    </w:p>
    <w:p>
      <w:pPr>
        <w:pStyle w:val="BodyText"/>
        <w:spacing w:line="408" w:lineRule="exact" w:before="0"/>
      </w:pPr>
      <w:r>
        <w:rPr/>
        <w:t>（一）掌握无菌技术的操作原则、隔离消毒原则。</w:t>
      </w:r>
    </w:p>
    <w:p>
      <w:pPr>
        <w:tabs>
          <w:tab w:pos="2023" w:val="left" w:leader="none"/>
        </w:tabs>
        <w:spacing w:line="316" w:lineRule="auto" w:before="130"/>
        <w:ind w:left="740" w:right="744" w:firstLine="0"/>
        <w:jc w:val="left"/>
        <w:rPr>
          <w:b/>
          <w:sz w:val="32"/>
        </w:rPr>
      </w:pPr>
      <w:r>
        <w:rPr>
          <w:sz w:val="32"/>
        </w:rPr>
        <w:t>（二）熟悉各种物理化学消毒灭菌的方法及注意事项</w:t>
      </w:r>
      <w:r>
        <w:rPr>
          <w:spacing w:val="-11"/>
          <w:sz w:val="32"/>
        </w:rPr>
        <w:t>。</w:t>
      </w:r>
      <w:r>
        <w:rPr>
          <w:b/>
          <w:sz w:val="32"/>
        </w:rPr>
        <w:t>第五章</w:t>
        <w:tab/>
        <w:t>清洁护理</w:t>
      </w:r>
    </w:p>
    <w:p>
      <w:pPr>
        <w:pStyle w:val="BodyText"/>
        <w:spacing w:line="408" w:lineRule="exact" w:before="0"/>
      </w:pPr>
      <w:r>
        <w:rPr/>
        <w:t>（一）掌握常用漱口溶液及其作用。</w:t>
      </w:r>
    </w:p>
    <w:p>
      <w:pPr>
        <w:pStyle w:val="BodyText"/>
      </w:pPr>
      <w:r>
        <w:rPr/>
        <w:t>（二）掌握压疮的预防措施、压疮的分期及相应的治疗护</w:t>
      </w:r>
    </w:p>
    <w:p>
      <w:pPr>
        <w:pStyle w:val="BodyText"/>
        <w:ind w:left="101"/>
      </w:pPr>
      <w:r>
        <w:rPr/>
        <w:t>理。</w:t>
      </w:r>
    </w:p>
    <w:p>
      <w:pPr>
        <w:pStyle w:val="BodyText"/>
      </w:pPr>
      <w:r>
        <w:rPr/>
        <w:t>（三）掌握压疮发生的易患人群、危险因素、易患部位的</w:t>
      </w:r>
    </w:p>
    <w:p>
      <w:pPr>
        <w:pStyle w:val="BodyText"/>
        <w:ind w:left="101"/>
      </w:pPr>
      <w:r>
        <w:rPr/>
        <w:t>评估。</w:t>
      </w:r>
    </w:p>
    <w:p>
      <w:pPr>
        <w:pStyle w:val="Heading1"/>
        <w:spacing w:before="130"/>
      </w:pPr>
      <w:r>
        <w:rPr/>
        <w:t>第六章 生命体征的评估与护理</w:t>
      </w:r>
    </w:p>
    <w:p>
      <w:pPr>
        <w:pStyle w:val="BodyText"/>
      </w:pPr>
      <w:r>
        <w:rPr/>
        <w:t>（一）掌握生命体征的正常值、测量要点及注意事项。</w:t>
      </w:r>
    </w:p>
    <w:p>
      <w:pPr>
        <w:pStyle w:val="BodyText"/>
      </w:pPr>
      <w:r>
        <w:rPr/>
        <w:t>（二）掌握异常生命体征的观察及护理措施。</w:t>
      </w:r>
    </w:p>
    <w:p>
      <w:pPr>
        <w:pStyle w:val="BodyText"/>
      </w:pPr>
      <w:r>
        <w:rPr/>
        <w:t>（三）熟悉给氧浓度的计算。</w:t>
      </w:r>
    </w:p>
    <w:p>
      <w:pPr>
        <w:spacing w:after="0"/>
        <w:sectPr>
          <w:pgSz w:w="11910" w:h="16840"/>
          <w:pgMar w:top="1480" w:bottom="280" w:left="1600" w:right="1140"/>
        </w:sectPr>
      </w:pPr>
    </w:p>
    <w:p>
      <w:pPr>
        <w:pStyle w:val="Heading1"/>
        <w:tabs>
          <w:tab w:pos="2023" w:val="left" w:leader="none"/>
        </w:tabs>
        <w:spacing w:before="31"/>
      </w:pPr>
      <w:r>
        <w:rPr/>
        <w:t>第七章</w:t>
        <w:tab/>
        <w:t>饮食护理</w:t>
      </w:r>
    </w:p>
    <w:p>
      <w:pPr>
        <w:pStyle w:val="BodyText"/>
        <w:ind w:left="696"/>
      </w:pPr>
      <w:r>
        <w:rPr>
          <w:spacing w:val="-22"/>
        </w:rPr>
        <w:t>（一）掌握医院饮食的种类、基本饮食的适用范围及饮食原则。</w:t>
      </w:r>
    </w:p>
    <w:p>
      <w:pPr>
        <w:pStyle w:val="BodyText"/>
      </w:pPr>
      <w:r>
        <w:rPr/>
        <w:t>（二）掌握鼻饲操作方法及注意事项。</w:t>
      </w:r>
    </w:p>
    <w:p>
      <w:pPr>
        <w:tabs>
          <w:tab w:pos="2023" w:val="left" w:leader="none"/>
        </w:tabs>
        <w:spacing w:line="316" w:lineRule="auto" w:before="130"/>
        <w:ind w:left="740" w:right="1067" w:firstLine="0"/>
        <w:jc w:val="left"/>
        <w:rPr>
          <w:b/>
          <w:sz w:val="32"/>
        </w:rPr>
      </w:pPr>
      <w:r>
        <w:rPr>
          <w:sz w:val="32"/>
        </w:rPr>
        <w:t>（三）熟悉治疗饮食和试验饮食的种类、适用范围</w:t>
      </w:r>
      <w:r>
        <w:rPr>
          <w:spacing w:val="-13"/>
          <w:sz w:val="32"/>
        </w:rPr>
        <w:t>。</w:t>
      </w:r>
      <w:r>
        <w:rPr>
          <w:b/>
          <w:sz w:val="32"/>
        </w:rPr>
        <w:t>第八章</w:t>
        <w:tab/>
        <w:t>排泄护理</w:t>
      </w:r>
    </w:p>
    <w:p>
      <w:pPr>
        <w:pStyle w:val="BodyText"/>
        <w:spacing w:line="408" w:lineRule="exact" w:before="0"/>
      </w:pPr>
      <w:r>
        <w:rPr/>
        <w:t>（一）掌握排尿、排便异常的护理。</w:t>
      </w:r>
    </w:p>
    <w:p>
      <w:pPr>
        <w:tabs>
          <w:tab w:pos="2023" w:val="left" w:leader="none"/>
        </w:tabs>
        <w:spacing w:line="316" w:lineRule="auto" w:before="130"/>
        <w:ind w:left="740" w:right="1344" w:hanging="48"/>
        <w:jc w:val="left"/>
        <w:rPr>
          <w:b/>
          <w:sz w:val="32"/>
        </w:rPr>
      </w:pPr>
      <w:r>
        <w:rPr>
          <w:spacing w:val="-24"/>
          <w:w w:val="95"/>
          <w:sz w:val="32"/>
        </w:rPr>
        <w:t>（</w:t>
      </w:r>
      <w:r>
        <w:rPr>
          <w:spacing w:val="-22"/>
          <w:w w:val="95"/>
          <w:sz w:val="32"/>
        </w:rPr>
        <w:t>二</w:t>
      </w:r>
      <w:r>
        <w:rPr>
          <w:spacing w:val="-24"/>
          <w:w w:val="95"/>
          <w:sz w:val="32"/>
        </w:rPr>
        <w:t>）掌</w:t>
      </w:r>
      <w:r>
        <w:rPr>
          <w:spacing w:val="-22"/>
          <w:w w:val="95"/>
          <w:sz w:val="32"/>
        </w:rPr>
        <w:t>握</w:t>
      </w:r>
      <w:r>
        <w:rPr>
          <w:spacing w:val="-24"/>
          <w:w w:val="95"/>
          <w:sz w:val="32"/>
        </w:rPr>
        <w:t>留置</w:t>
      </w:r>
      <w:r>
        <w:rPr>
          <w:spacing w:val="-22"/>
          <w:w w:val="95"/>
          <w:sz w:val="32"/>
        </w:rPr>
        <w:t>导</w:t>
      </w:r>
      <w:r>
        <w:rPr>
          <w:spacing w:val="-24"/>
          <w:w w:val="95"/>
          <w:sz w:val="32"/>
        </w:rPr>
        <w:t>尿术</w:t>
      </w:r>
      <w:r>
        <w:rPr>
          <w:spacing w:val="-22"/>
          <w:w w:val="95"/>
          <w:sz w:val="32"/>
        </w:rPr>
        <w:t>、</w:t>
      </w:r>
      <w:r>
        <w:rPr>
          <w:spacing w:val="-24"/>
          <w:w w:val="95"/>
          <w:sz w:val="32"/>
        </w:rPr>
        <w:t>灌肠</w:t>
      </w:r>
      <w:r>
        <w:rPr>
          <w:spacing w:val="-22"/>
          <w:w w:val="95"/>
          <w:sz w:val="32"/>
        </w:rPr>
        <w:t>术</w:t>
      </w:r>
      <w:r>
        <w:rPr>
          <w:spacing w:val="-24"/>
          <w:w w:val="95"/>
          <w:sz w:val="32"/>
        </w:rPr>
        <w:t>操作</w:t>
      </w:r>
      <w:r>
        <w:rPr>
          <w:spacing w:val="-22"/>
          <w:w w:val="95"/>
          <w:sz w:val="32"/>
        </w:rPr>
        <w:t>要</w:t>
      </w:r>
      <w:r>
        <w:rPr>
          <w:spacing w:val="-24"/>
          <w:w w:val="95"/>
          <w:sz w:val="32"/>
        </w:rPr>
        <w:t>点及</w:t>
      </w:r>
      <w:r>
        <w:rPr>
          <w:spacing w:val="-22"/>
          <w:w w:val="95"/>
          <w:sz w:val="32"/>
        </w:rPr>
        <w:t>注</w:t>
      </w:r>
      <w:r>
        <w:rPr>
          <w:spacing w:val="-24"/>
          <w:w w:val="95"/>
          <w:sz w:val="32"/>
        </w:rPr>
        <w:t>意事</w:t>
      </w:r>
      <w:r>
        <w:rPr>
          <w:spacing w:val="-22"/>
          <w:w w:val="95"/>
          <w:sz w:val="32"/>
        </w:rPr>
        <w:t>项</w:t>
      </w:r>
      <w:r>
        <w:rPr>
          <w:spacing w:val="-11"/>
          <w:w w:val="95"/>
          <w:sz w:val="32"/>
        </w:rPr>
        <w:t>。 </w:t>
      </w:r>
      <w:r>
        <w:rPr>
          <w:b/>
          <w:sz w:val="32"/>
        </w:rPr>
        <w:t>第九章</w:t>
        <w:tab/>
        <w:t>药物疗法与过敏试验法</w:t>
      </w:r>
    </w:p>
    <w:p>
      <w:pPr>
        <w:pStyle w:val="BodyText"/>
        <w:spacing w:line="408" w:lineRule="exact" w:before="0"/>
      </w:pPr>
      <w:r>
        <w:rPr/>
        <w:t>（一）掌握药疗的原则、注射原则。</w:t>
      </w:r>
    </w:p>
    <w:p>
      <w:pPr>
        <w:pStyle w:val="BodyText"/>
      </w:pPr>
      <w:r>
        <w:rPr/>
        <w:t>（二）掌握青霉素过敏性休克的预防及处理。</w:t>
      </w:r>
    </w:p>
    <w:p>
      <w:pPr>
        <w:pStyle w:val="BodyText"/>
        <w:spacing w:line="316" w:lineRule="auto"/>
        <w:ind w:left="101" w:right="276" w:firstLine="638"/>
      </w:pPr>
      <w:r>
        <w:rPr>
          <w:spacing w:val="7"/>
          <w:w w:val="95"/>
        </w:rPr>
        <w:t>（三）</w:t>
      </w:r>
      <w:r>
        <w:rPr>
          <w:spacing w:val="4"/>
          <w:w w:val="95"/>
        </w:rPr>
        <w:t>掌握青霉素、链霉素、破伤风抗毒素等皮试液的配 </w:t>
      </w:r>
      <w:r>
        <w:rPr>
          <w:spacing w:val="4"/>
        </w:rPr>
        <w:t>制法及过敏试验。</w:t>
      </w:r>
    </w:p>
    <w:p>
      <w:pPr>
        <w:pStyle w:val="Heading1"/>
        <w:tabs>
          <w:tab w:pos="2023" w:val="left" w:leader="none"/>
        </w:tabs>
        <w:spacing w:line="408" w:lineRule="exact"/>
      </w:pPr>
      <w:r>
        <w:rPr/>
        <w:t>第十章</w:t>
        <w:tab/>
        <w:t>静脉输液与输血</w:t>
      </w:r>
    </w:p>
    <w:p>
      <w:pPr>
        <w:pStyle w:val="BodyText"/>
      </w:pPr>
      <w:r>
        <w:rPr/>
        <w:t>（一）掌握周围静脉输液法的方法及注意事项。</w:t>
      </w:r>
    </w:p>
    <w:p>
      <w:pPr>
        <w:pStyle w:val="BodyText"/>
      </w:pPr>
      <w:r>
        <w:rPr/>
        <w:t>（二）掌握常见输液反应及防护。</w:t>
      </w:r>
    </w:p>
    <w:p>
      <w:pPr>
        <w:tabs>
          <w:tab w:pos="2345" w:val="left" w:leader="none"/>
        </w:tabs>
        <w:spacing w:line="316" w:lineRule="auto" w:before="130"/>
        <w:ind w:left="740" w:right="3305" w:firstLine="0"/>
        <w:jc w:val="left"/>
        <w:rPr>
          <w:b/>
          <w:sz w:val="32"/>
        </w:rPr>
      </w:pPr>
      <w:r>
        <w:rPr>
          <w:sz w:val="32"/>
        </w:rPr>
        <w:t>（三）掌握常见的输血反应及护理</w:t>
      </w:r>
      <w:r>
        <w:rPr>
          <w:spacing w:val="-14"/>
          <w:sz w:val="32"/>
        </w:rPr>
        <w:t>。</w:t>
      </w:r>
      <w:r>
        <w:rPr>
          <w:b/>
          <w:sz w:val="32"/>
        </w:rPr>
        <w:t>第十一章</w:t>
        <w:tab/>
        <w:t>冷热疗法</w:t>
      </w:r>
    </w:p>
    <w:p>
      <w:pPr>
        <w:pStyle w:val="BodyText"/>
        <w:spacing w:line="408" w:lineRule="exact" w:before="0"/>
        <w:ind w:left="704"/>
      </w:pPr>
      <w:r>
        <w:rPr/>
        <w:t>（一）掌握冷疗与热疗法的目的及禁忌。</w:t>
      </w:r>
    </w:p>
    <w:p>
      <w:pPr>
        <w:tabs>
          <w:tab w:pos="2345" w:val="left" w:leader="none"/>
        </w:tabs>
        <w:spacing w:line="316" w:lineRule="auto" w:before="130"/>
        <w:ind w:left="740" w:right="1548" w:hanging="36"/>
        <w:jc w:val="left"/>
        <w:rPr>
          <w:b/>
          <w:sz w:val="32"/>
        </w:rPr>
      </w:pPr>
      <w:r>
        <w:rPr>
          <w:spacing w:val="-17"/>
          <w:w w:val="95"/>
          <w:sz w:val="32"/>
        </w:rPr>
        <w:t>（二）熟悉</w:t>
      </w:r>
      <w:r>
        <w:rPr>
          <w:spacing w:val="-19"/>
          <w:w w:val="95"/>
          <w:sz w:val="32"/>
        </w:rPr>
        <w:t>冰</w:t>
      </w:r>
      <w:r>
        <w:rPr>
          <w:spacing w:val="-17"/>
          <w:w w:val="95"/>
          <w:sz w:val="32"/>
        </w:rPr>
        <w:t>袋、温</w:t>
      </w:r>
      <w:r>
        <w:rPr>
          <w:spacing w:val="-22"/>
          <w:w w:val="95"/>
          <w:sz w:val="32"/>
        </w:rPr>
        <w:t>水、乙</w:t>
      </w:r>
      <w:r>
        <w:rPr>
          <w:spacing w:val="-19"/>
          <w:w w:val="95"/>
          <w:sz w:val="32"/>
        </w:rPr>
        <w:t>醇</w:t>
      </w:r>
      <w:r>
        <w:rPr>
          <w:spacing w:val="-22"/>
          <w:w w:val="95"/>
          <w:sz w:val="32"/>
        </w:rPr>
        <w:t>擦浴、热水</w:t>
      </w:r>
      <w:r>
        <w:rPr>
          <w:spacing w:val="-19"/>
          <w:w w:val="95"/>
          <w:sz w:val="32"/>
        </w:rPr>
        <w:t>袋</w:t>
      </w:r>
      <w:r>
        <w:rPr>
          <w:spacing w:val="-22"/>
          <w:w w:val="95"/>
          <w:sz w:val="32"/>
        </w:rPr>
        <w:t>的方法</w:t>
      </w:r>
      <w:r>
        <w:rPr>
          <w:w w:val="95"/>
          <w:sz w:val="32"/>
        </w:rPr>
        <w:t>。 </w:t>
      </w:r>
      <w:r>
        <w:rPr>
          <w:b/>
          <w:sz w:val="32"/>
        </w:rPr>
        <w:t>第十二章</w:t>
        <w:tab/>
        <w:t>标本采集</w:t>
      </w:r>
    </w:p>
    <w:p>
      <w:pPr>
        <w:pStyle w:val="BodyText"/>
        <w:spacing w:line="408" w:lineRule="exact" w:before="0"/>
      </w:pPr>
      <w:r>
        <w:rPr/>
        <w:t>（一）掌握标本采集的基本原则。</w:t>
      </w:r>
    </w:p>
    <w:p>
      <w:pPr>
        <w:tabs>
          <w:tab w:pos="2345" w:val="left" w:leader="none"/>
        </w:tabs>
        <w:spacing w:line="316" w:lineRule="auto" w:before="130"/>
        <w:ind w:left="740" w:right="1067" w:firstLine="0"/>
        <w:jc w:val="left"/>
        <w:rPr>
          <w:b/>
          <w:sz w:val="32"/>
        </w:rPr>
      </w:pPr>
      <w:r>
        <w:rPr>
          <w:sz w:val="32"/>
        </w:rPr>
        <w:t>（二）掌握尿标本常用防腐剂的种类、作用与用法</w:t>
      </w:r>
      <w:r>
        <w:rPr>
          <w:spacing w:val="-13"/>
          <w:sz w:val="32"/>
        </w:rPr>
        <w:t>。</w:t>
      </w:r>
      <w:r>
        <w:rPr>
          <w:b/>
          <w:sz w:val="32"/>
        </w:rPr>
        <w:t>第十三章</w:t>
        <w:tab/>
        <w:t>病情观察和危重病人的抢救技术</w:t>
      </w:r>
    </w:p>
    <w:p>
      <w:pPr>
        <w:pStyle w:val="BodyText"/>
        <w:spacing w:line="408" w:lineRule="exact" w:before="0"/>
      </w:pPr>
      <w:r>
        <w:rPr/>
        <w:t>（一）掌握危重病人的支持性护理措施。</w:t>
      </w:r>
    </w:p>
    <w:p>
      <w:pPr>
        <w:pStyle w:val="BodyText"/>
      </w:pPr>
      <w:r>
        <w:rPr/>
        <w:t>（二）掌握心肺复苏术、洗胃法。</w:t>
      </w:r>
    </w:p>
    <w:p>
      <w:pPr>
        <w:spacing w:after="0"/>
        <w:sectPr>
          <w:pgSz w:w="11910" w:h="16840"/>
          <w:pgMar w:top="1480" w:bottom="280" w:left="1600" w:right="1140"/>
        </w:sectPr>
      </w:pPr>
    </w:p>
    <w:p>
      <w:pPr>
        <w:pStyle w:val="BodyText"/>
        <w:spacing w:before="31"/>
        <w:rPr>
          <w:rFonts w:ascii="黑体" w:eastAsia="黑体" w:hint="eastAsia"/>
        </w:rPr>
      </w:pPr>
      <w:r>
        <w:rPr>
          <w:rFonts w:ascii="黑体" w:eastAsia="黑体" w:hint="eastAsia"/>
        </w:rPr>
        <w:t>七、参考教材</w:t>
      </w:r>
    </w:p>
    <w:p>
      <w:pPr>
        <w:pStyle w:val="BodyText"/>
        <w:spacing w:line="316" w:lineRule="auto"/>
        <w:ind w:left="101" w:right="276" w:firstLine="638"/>
      </w:pPr>
      <w:r>
        <w:rPr/>
        <w:t>《基础护理学（第 </w:t>
      </w:r>
      <w:r>
        <w:rPr>
          <w:rFonts w:ascii="Times New Roman" w:eastAsia="Times New Roman"/>
        </w:rPr>
        <w:t>4 </w:t>
      </w:r>
      <w:r>
        <w:rPr/>
        <w:t>版）》，张连辉、邓翠珍，北京，人民卫生出版社，</w:t>
      </w:r>
      <w:r>
        <w:rPr>
          <w:rFonts w:ascii="Times New Roman" w:eastAsia="Times New Roman"/>
        </w:rPr>
        <w:t>2019 </w:t>
      </w:r>
      <w:r>
        <w:rPr/>
        <w:t>年 </w:t>
      </w:r>
      <w:r>
        <w:rPr>
          <w:rFonts w:ascii="Times New Roman" w:eastAsia="Times New Roman"/>
        </w:rPr>
        <w:t>01 </w:t>
      </w:r>
      <w:r>
        <w:rPr/>
        <w:t>月。</w:t>
      </w:r>
    </w:p>
    <w:sectPr>
      <w:pgSz w:w="11910" w:h="16840"/>
      <w:pgMar w:top="1480" w:bottom="280" w:left="16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大标宋简体">
    <w:altName w:val="方正大标宋简体"/>
    <w:charset w:val="86"/>
    <w:family w:val="script"/>
    <w:pitch w:val="fixed"/>
  </w:font>
  <w:font w:name="楷体_GB2312">
    <w:altName w:val="楷体_GB2312"/>
    <w:charset w:val="86"/>
    <w:family w:val="modern"/>
    <w:pitch w:val="fixed"/>
  </w:font>
  <w:font w:name="黑体">
    <w:altName w:val="黑体"/>
    <w:charset w:val="86"/>
    <w:family w:val="modern"/>
    <w:pitch w:val="fixed"/>
  </w:font>
  <w:font w:name="仿宋_GB2312">
    <w:altName w:val="仿宋_GB2312"/>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spacing w:before="130"/>
      <w:ind w:left="740"/>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ind w:left="740"/>
      <w:outlineLvl w:val="1"/>
    </w:pPr>
    <w:rPr>
      <w:rFonts w:ascii="仿宋_GB2312" w:hAnsi="仿宋_GB2312" w:eastAsia="仿宋_GB2312" w:cs="仿宋_GB2312"/>
      <w:b/>
      <w:bCs/>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2020-06-23T10:58:28Z</dcterms:created>
  <dcterms:modified xsi:type="dcterms:W3CDTF">2020-06-23T10:58:28Z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WPS 文字</vt:lpwstr>
  </property>
  <property fmtid="{D5CDD505-2E9C-101B-9397-08002B2CF9AE}" pid="4" name="LastSaved">
    <vt:filetime>2020-06-23T00:00:00Z</vt:filetime>
  </property>
</Properties>
</file>